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54C8B" w14:textId="135A2139" w:rsidR="0086045F" w:rsidRDefault="00D54D19">
      <w:r>
        <w:rPr>
          <w:noProof/>
        </w:rPr>
        <w:drawing>
          <wp:inline distT="0" distB="0" distL="0" distR="0" wp14:anchorId="3C0A03B0" wp14:editId="1B0C00D5">
            <wp:extent cx="4985385" cy="4874260"/>
            <wp:effectExtent l="0" t="0" r="0" b="0"/>
            <wp:docPr id="14107627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985385" cy="4874260"/>
                    </a:xfrm>
                    <a:prstGeom prst="rect">
                      <a:avLst/>
                    </a:prstGeom>
                    <a:noFill/>
                    <a:ln>
                      <a:noFill/>
                    </a:ln>
                  </pic:spPr>
                </pic:pic>
              </a:graphicData>
            </a:graphic>
          </wp:inline>
        </w:drawing>
      </w:r>
    </w:p>
    <w:p w14:paraId="1984ABC8" w14:textId="77777777" w:rsidR="00D54D19" w:rsidRDefault="00D54D19" w:rsidP="00D54D19">
      <w:pPr>
        <w:rPr>
          <w:rFonts w:ascii="Times New Roman" w:eastAsia="宋体" w:hAnsi="Times New Roman" w:cs="Times New Roman"/>
          <w:b/>
          <w:bCs/>
          <w:kern w:val="0"/>
          <w:sz w:val="24"/>
          <w:szCs w:val="24"/>
          <w14:ligatures w14:val="none"/>
        </w:rPr>
      </w:pPr>
      <w:bookmarkStart w:id="0" w:name="_Hlk209439992"/>
      <w:r w:rsidRPr="001063A8">
        <w:rPr>
          <w:rFonts w:ascii="Times New Roman" w:eastAsia="宋体" w:hAnsi="Times New Roman" w:cs="Times New Roman"/>
          <w:b/>
          <w:bCs/>
          <w:kern w:val="0"/>
          <w:sz w:val="24"/>
          <w:szCs w:val="24"/>
          <w14:ligatures w14:val="none"/>
        </w:rPr>
        <w:t xml:space="preserve">Supplementary Figure 1. </w:t>
      </w:r>
      <w:r w:rsidRPr="00C50DAC">
        <w:rPr>
          <w:rFonts w:ascii="Times New Roman" w:eastAsia="宋体" w:hAnsi="Times New Roman" w:cs="Times New Roman"/>
          <w:b/>
          <w:bCs/>
          <w:kern w:val="0"/>
          <w:sz w:val="24"/>
          <w:szCs w:val="24"/>
          <w14:ligatures w14:val="none"/>
        </w:rPr>
        <w:t>Non-linear association between stress hyperglycemia ratio (SHR) and early neurological deterioration (END) after additional adjustment for inflammatory markers.</w:t>
      </w:r>
    </w:p>
    <w:p w14:paraId="11BECA3C" w14:textId="77777777" w:rsidR="00D54D19" w:rsidRDefault="00D54D19" w:rsidP="00D54D19">
      <w:pPr>
        <w:rPr>
          <w:rFonts w:ascii="Times New Roman" w:eastAsia="宋体" w:hAnsi="Times New Roman" w:cs="Times New Roman"/>
          <w:b/>
          <w:bCs/>
          <w:kern w:val="0"/>
          <w:sz w:val="24"/>
          <w:szCs w:val="24"/>
          <w14:ligatures w14:val="none"/>
        </w:rPr>
      </w:pPr>
    </w:p>
    <w:p w14:paraId="5F612A93" w14:textId="77777777" w:rsidR="00D54D19" w:rsidRPr="00C50DAC" w:rsidRDefault="00D54D19" w:rsidP="00D54D19">
      <w:pPr>
        <w:rPr>
          <w:rFonts w:ascii="Times New Roman" w:eastAsia="宋体" w:hAnsi="Times New Roman" w:cs="Times New Roman"/>
          <w:b/>
          <w:bCs/>
          <w:kern w:val="0"/>
          <w:sz w:val="24"/>
          <w:szCs w:val="24"/>
          <w14:ligatures w14:val="none"/>
        </w:rPr>
      </w:pPr>
      <w:r w:rsidRPr="00C50DAC">
        <w:rPr>
          <w:rFonts w:ascii="Times New Roman" w:eastAsia="宋体" w:hAnsi="Times New Roman" w:cs="Times New Roman"/>
          <w:b/>
          <w:bCs/>
          <w:kern w:val="0"/>
          <w:sz w:val="24"/>
          <w:szCs w:val="24"/>
          <w14:ligatures w14:val="none"/>
        </w:rPr>
        <w:t>Legend:</w:t>
      </w:r>
    </w:p>
    <w:p w14:paraId="2DAB2DE2" w14:textId="77777777" w:rsidR="00D54D19" w:rsidRPr="00C50DAC" w:rsidRDefault="00D54D19" w:rsidP="00D54D19">
      <w:pPr>
        <w:rPr>
          <w:rFonts w:ascii="Times New Roman" w:eastAsia="宋体" w:hAnsi="Times New Roman" w:cs="Times New Roman"/>
          <w:kern w:val="0"/>
          <w:szCs w:val="21"/>
          <w14:ligatures w14:val="none"/>
        </w:rPr>
      </w:pPr>
      <w:r w:rsidRPr="00C50DAC">
        <w:rPr>
          <w:rFonts w:ascii="Times New Roman" w:eastAsia="宋体" w:hAnsi="Times New Roman" w:cs="Times New Roman"/>
          <w:kern w:val="0"/>
          <w:szCs w:val="21"/>
          <w14:ligatures w14:val="none"/>
        </w:rPr>
        <w:t>The figure shows the generalized additive model (GAM) evaluating the non-linear relationship between SHR and the risk of END in a sensitivity analysis. In Model B, the analysis was fully adjusted for age, sex, smoking status, hypertension, diabetes mellitus, atrial fibrillation (AF), chronic obstructive pulmonary disease (COPD), Trial of Org 10172 in Acute Stroke Treatment (TOAST) classification, systolic blood pressure (SBP), diastolic blood pressure (DBP), triglycerides (TG, Box-Cox transformed), high-density lipoprotein cholesterol (HDL-C), low-density lipoprotein cholesterol (LDL-C), aspartate aminotransferase (AST, Box-Cox transformed), alanine aminotransferase (ALT, Box-Cox transformed), uric acid (UA, Box-Cox transformed), homocysteine (HCY, Box-Cox transformed), estimated glomerular filtration rate (eGFR), NIHSS score, and additionally C-reactive protein (CRP) and white blood cell count (WBC). SHR remained significantly associated with END risk in a non-linear pattern (</w:t>
      </w:r>
      <w:proofErr w:type="spellStart"/>
      <w:r w:rsidRPr="00C50DAC">
        <w:rPr>
          <w:rFonts w:ascii="Times New Roman" w:eastAsia="宋体" w:hAnsi="Times New Roman" w:cs="Times New Roman"/>
          <w:kern w:val="0"/>
          <w:szCs w:val="21"/>
          <w14:ligatures w14:val="none"/>
        </w:rPr>
        <w:t>edf</w:t>
      </w:r>
      <w:proofErr w:type="spellEnd"/>
      <w:r w:rsidRPr="00C50DAC">
        <w:rPr>
          <w:rFonts w:ascii="Times New Roman" w:eastAsia="宋体" w:hAnsi="Times New Roman" w:cs="Times New Roman"/>
          <w:kern w:val="0"/>
          <w:szCs w:val="21"/>
          <w14:ligatures w14:val="none"/>
        </w:rPr>
        <w:t xml:space="preserve"> = 4.07, χ² = 12.97, P = 0.0243). Shaded areas represent 95% confidence intervals of the smoothed fit. END: early neurological deterioration; SHR: stress hyperglycemia ratio; GAM: generalized additive model.</w:t>
      </w:r>
      <w:bookmarkEnd w:id="0"/>
    </w:p>
    <w:p w14:paraId="7C92744D" w14:textId="77777777" w:rsidR="00D54D19" w:rsidRPr="00D54D19" w:rsidRDefault="00D54D19">
      <w:pPr>
        <w:rPr>
          <w:rFonts w:hint="eastAsia"/>
        </w:rPr>
      </w:pPr>
    </w:p>
    <w:sectPr w:rsidR="00D54D19" w:rsidRPr="00D54D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6195F"/>
    <w:rsid w:val="0086045F"/>
    <w:rsid w:val="0086195F"/>
    <w:rsid w:val="00CC2A77"/>
    <w:rsid w:val="00D54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BFEE6"/>
  <w15:chartTrackingRefBased/>
  <w15:docId w15:val="{36899CC2-129C-4D37-8BCB-6061B7EBB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三线表"/>
    <w:basedOn w:val="a1"/>
    <w:uiPriority w:val="99"/>
    <w:rsid w:val="00CC2A77"/>
    <w:rPr>
      <w:rFonts w:ascii="Times New Roman" w:eastAsia="宋体" w:hAnsi="Times New Roman"/>
    </w:rPr>
    <w:tblPr>
      <w:tblBorders>
        <w:top w:val="single" w:sz="12" w:space="0" w:color="auto"/>
        <w:bottom w:val="single" w:sz="12" w:space="0" w:color="auto"/>
      </w:tblBorders>
    </w:tblPr>
    <w:tblStylePr w:type="firstRow">
      <w:pPr>
        <w:wordWrap/>
        <w:spacing w:line="360" w:lineRule="exact"/>
        <w:jc w:val="center"/>
      </w:pPr>
      <w:rPr>
        <w:rFonts w:ascii="Times New Roman" w:eastAsia="宋体" w:hAnsi="Times New Roman"/>
        <w:b w:val="0"/>
        <w:i w:val="0"/>
        <w:sz w:val="21"/>
      </w:rPr>
      <w:tblPr/>
      <w:tcPr>
        <w:tcBorders>
          <w:top w:val="single" w:sz="12" w:space="0" w:color="auto"/>
          <w:left w:val="nil"/>
          <w:bottom w:val="single" w:sz="6"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正坪 朱</dc:creator>
  <cp:keywords/>
  <dc:description/>
  <cp:lastModifiedBy>正坪 朱</cp:lastModifiedBy>
  <cp:revision>2</cp:revision>
  <dcterms:created xsi:type="dcterms:W3CDTF">2025-10-29T02:25:00Z</dcterms:created>
  <dcterms:modified xsi:type="dcterms:W3CDTF">2025-10-29T02:25:00Z</dcterms:modified>
</cp:coreProperties>
</file>